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4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de Santiago del Teide cumple con todos los Indicadores y Condicionantes Económicos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>Así lo indica la auditoría del Fondo Canario de Finaciación Municipal correspondiente al ejercicio económico del 2020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Santiago del Teide cumple de nuevo de forma favorable con todos los indicadores requeridos de la auditoría del Fondo Canario de Financiación Municipal correspondiente a la liquidación del presupuesto del 2020.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Emilio Navarro, Alcalde de Santiago del Teide, señala que " es de suma importancia para nuestro municipio cumplir con lo dispuesto en la Ley 3/1999 de 4 de febrero, del Fondo Canario de Financiación Municipal, ya que ello significa no variar el objetivo que nos propusimos desde un principio que es el de mantener saneado financieramente nuestro Ayuntamiento a la vez que nos permitirá destinar ese dinero proveniente del fondo de finaciación a proyectos de inversión".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la auditoría realizada se aprecia que se cumplen con los principales  indicadores de saneamiento económico-financiero, alcanzando el indicador de </w:t>
      </w:r>
      <w:r>
        <w:rPr>
          <w:rFonts w:ascii="Verdana" w:hAnsi="Verdana"/>
          <w:b/>
          <w:sz w:val="28"/>
          <w:szCs w:val="28"/>
        </w:rPr>
        <w:t>A</w:t>
      </w:r>
      <w:r>
        <w:rPr>
          <w:rFonts w:ascii="Verdana" w:hAnsi="Verdana"/>
          <w:b/>
          <w:bCs/>
          <w:sz w:val="28"/>
          <w:szCs w:val="28"/>
        </w:rPr>
        <w:t>horro Neto en el 8,4%</w:t>
      </w:r>
      <w:r>
        <w:rPr>
          <w:rFonts w:ascii="Verdana" w:hAnsi="Verdana"/>
          <w:sz w:val="28"/>
          <w:szCs w:val="28"/>
        </w:rPr>
        <w:t xml:space="preserve"> siendo el mínimo superior al 6% , el indicador de </w:t>
      </w:r>
      <w:r>
        <w:rPr>
          <w:rFonts w:ascii="Verdana" w:hAnsi="Verdana"/>
          <w:b/>
          <w:sz w:val="28"/>
          <w:szCs w:val="28"/>
        </w:rPr>
        <w:t>E</w:t>
      </w:r>
      <w:r>
        <w:rPr>
          <w:rFonts w:ascii="Verdana" w:hAnsi="Verdana"/>
          <w:b/>
          <w:bCs/>
          <w:sz w:val="28"/>
          <w:szCs w:val="28"/>
        </w:rPr>
        <w:t>ndeudamiento a Largo Plazo se sitúa en el 0,0%,</w:t>
      </w:r>
      <w:r>
        <w:rPr>
          <w:rFonts w:ascii="Verdana" w:hAnsi="Verdana"/>
          <w:sz w:val="28"/>
          <w:szCs w:val="28"/>
        </w:rPr>
        <w:t xml:space="preserve"> el limite para dicho ratio no debe sobrepasar el 70%, y </w:t>
      </w:r>
      <w:r>
        <w:rPr>
          <w:rFonts w:ascii="Verdana" w:hAnsi="Verdana"/>
          <w:b/>
          <w:bCs/>
          <w:sz w:val="28"/>
          <w:szCs w:val="28"/>
        </w:rPr>
        <w:t xml:space="preserve">el Remanente de Tesorería para Gastos Generales se sitúa en el </w:t>
      </w:r>
      <w:r>
        <w:rPr>
          <w:rFonts w:ascii="Verdana" w:hAnsi="Verdana"/>
          <w:b/>
          <w:bCs/>
          <w:sz w:val="28"/>
          <w:szCs w:val="28"/>
        </w:rPr>
        <w:lastRenderedPageBreak/>
        <w:t>128,6%</w:t>
      </w:r>
      <w:r>
        <w:rPr>
          <w:rFonts w:ascii="Verdana" w:hAnsi="Verdana"/>
          <w:b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el umbral que se establece para esta magnitud tiene que ser superior al 1%.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Por tanto, el Ayuntamiento de Santiago del Teide presenta una evolución positiva en lo relativo a su gestión económica financiera por encima de los niveles exigidos y eso se plasma en el indicador más importante como es el del Remanente de Tesorería el cual acumula todos los saldos pendientes tanto a cobrar como a pagar así como el efectivo resultante de la actividad económica que se viene dando en éste y en todos los ejercicios anteriores, pudiendose comprobar su disminución con respecto al año anterior.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2021-11-04T12:21:00Z</dcterms:created>
  <dcterms:modified xsi:type="dcterms:W3CDTF">2021-11-04T12:21:00Z</dcterms:modified>
</cp:coreProperties>
</file>